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44" text:style-name="Internet_20_link" text:visited-style-name="Visited_20_Internet_20_Link">
              <text:span text:style-name="ListLabel_20_28">
                <text:span text:style-name="T8">1 Art. 44 vragen CDA - Dak- en thuislozen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44"/>
        Art. 44 vragen CDA - Dak- en thuislozen
        <text:bookmark-end text:name="9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1904919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RGMAOZ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09-11-2022 14:38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CDA - Dak- en thuislozen
              <text:span text:style-name="T3"/>
            </text:p>
            <text:p text:style-name="P7"/>
          </table:table-cell>
          <table:table-cell table:style-name="Table5.A2" office:value-type="string">
            <text:p text:style-name="P8">10-10-2022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78,59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CDA-Dak-en-thuislo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CDA - Dak- en thuisloze arbeidsmigranten.
              <text:span text:style-name="T3"/>
            </text:p>
            <text:p text:style-name="P7"/>
          </table:table-cell>
          <table:table-cell table:style-name="Table5.A2" office:value-type="string">
            <text:p text:style-name="P8">09-11-2022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433,95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CDA-Dak-en-thuisloze-arbeidsmigra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8" meta:character-count="541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