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3" text:style-name="Internet_20_link" text:visited-style-name="Visited_20_Internet_20_Link">
              <text:span text:style-name="ListLabel_20_28">
                <text:span text:style-name="T8">1 Art. 44 vragen EENLokaal - Tweetalige borden bebouwde kom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3"/>
        Art. 44 vragen EENLokaal - Tweetalige borden bebouwde kom
        <text:bookmark-end text:name="8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1901470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02-11-2022 16:15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44-vragen EL - Tweetalige bebouwde kom borden
              <text:span text:style-name="T3"/>
            </text:p>
            <text:p text:style-name="P7"/>
          </table:table-cell>
          <table:table-cell table:style-name="Table5.A2" office:value-type="string">
            <text:p text:style-name="P8">02-11-2022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L-Tweetalige-bebouwde-kom-b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EENLokaal - Tweetalige bebouwde kom borden
              <text:span text:style-name="T3"/>
            </text:p>
            <text:p text:style-name="P7"/>
          </table:table-cell>
          <table:table-cell table:style-name="Table5.A2" office:value-type="string">
            <text:p text:style-name="P8">13-10-2022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878,26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Tweetalige-bebouwde-kom-b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591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