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4" w:history="1">
        <w:r>
          <w:rPr>
            <w:rFonts w:ascii="Arial" w:hAnsi="Arial" w:eastAsia="Arial" w:cs="Arial"/>
            <w:color w:val="155CAA"/>
            <w:u w:val="single"/>
          </w:rPr>
          <w:t xml:space="preserve">1 Veur Groeët Venlo - Ontwikkeling Witveldweg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4"/>
      <w:r w:rsidRPr="00A448AC">
        <w:rPr>
          <w:rFonts w:ascii="Arial" w:hAnsi="Arial" w:cs="Arial"/>
          <w:b/>
          <w:bCs/>
          <w:color w:val="303F4C"/>
          <w:lang w:val="en-US"/>
        </w:rPr>
        <w:t>Veur Groeët Venlo - Ontwikkeling Witveldweg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225989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Veur Groeët Venlo - Ontwikkeling Witveldweg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Ontwikkeling Witveldweg,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eur-Groeet-Venlo-Ontwikkeling-Witveldweg.pdf" TargetMode="External" /><Relationship Id="rId25" Type="http://schemas.openxmlformats.org/officeDocument/2006/relationships/hyperlink" Target="https://https://gemeenteraad.venlo.nl//Documenten/Beantwoording-art-44-vragen-Veur-Groeet-Venlo-Ontwikkeling-Witveldweg-Belf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