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743" w:history="1">
        <w:r>
          <w:rPr>
            <w:rFonts w:ascii="Arial" w:hAnsi="Arial" w:eastAsia="Arial" w:cs="Arial"/>
            <w:color w:val="155CAA"/>
            <w:u w:val="single"/>
          </w:rPr>
          <w:t xml:space="preserve">1 Artikel 35 vragen VSP en EENLokaal - Kaldenkerkerweg Tegelen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743"/>
      <w:r w:rsidRPr="00A448AC">
        <w:rPr>
          <w:rFonts w:ascii="Arial" w:hAnsi="Arial" w:cs="Arial"/>
          <w:b/>
          <w:bCs/>
          <w:color w:val="303F4C"/>
          <w:lang w:val="en-US"/>
        </w:rPr>
        <w:t>Artikel 35 vragen VSP en EENLokaal - Kaldenkerkerweg Tegelen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 15:55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35 vragen VSP en EENLokaal - Kaldenkerkerweg Tegelen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Artikel-35-vragen/Artikel-35-vragen-VSP-en-EENLokaal-Kaldenkerkerweg-Tegel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