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518" w:history="1">
        <w:r>
          <w:rPr>
            <w:rFonts w:ascii="Arial" w:hAnsi="Arial" w:eastAsia="Arial" w:cs="Arial"/>
            <w:color w:val="155CAA"/>
            <w:u w:val="single"/>
          </w:rPr>
          <w:t xml:space="preserve">1 033-1 2023 RIB Kennisgeving Startbeslissing Vierwaarden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518"/>
      <w:r w:rsidRPr="00A448AC">
        <w:rPr>
          <w:rFonts w:ascii="Arial" w:hAnsi="Arial" w:cs="Arial"/>
          <w:b/>
          <w:bCs/>
          <w:color w:val="303F4C"/>
          <w:lang w:val="en-US"/>
        </w:rPr>
        <w:t>033-1 2023 RIB Kennisgeving Startbeslissing Vierwaarden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25-04-2023 15:16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033 RIB Kennisgeving Startbeslissing Vierwaarden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173,25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https://gemeenteraad.venlo.nl//Documenten/033-RIB-Kennisgeving-Startbeslissing-Vierwaard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