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12" w:history="1">
        <w:r>
          <w:rPr>
            <w:rFonts w:ascii="Arial" w:hAnsi="Arial" w:eastAsia="Arial" w:cs="Arial"/>
            <w:color w:val="155CAA"/>
            <w:u w:val="single"/>
          </w:rPr>
          <w:t xml:space="preserve">1 040 2024 RIB Evaluatie beleidskader Huisvesting internationale werknemers (shortstay)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12"/>
      <w:r w:rsidRPr="00A448AC">
        <w:rPr>
          <w:rFonts w:ascii="Arial" w:hAnsi="Arial" w:cs="Arial"/>
          <w:b/>
          <w:bCs/>
          <w:color w:val="303F4C"/>
          <w:lang w:val="en-US"/>
        </w:rPr>
        <w:t>040 2024 RIB Evaluatie beleidskader Huisvesting internationale werknemers (shortstay)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 10:27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 2024 RIB Evaluatie beleidskader Huisvesting internationale werknemers (shortstay)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40-2024-RIB-Evaluatie-beleidskader-Huisvesting-internationale-werknemers-shortsta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