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604" w:history="1">
        <w:r>
          <w:rPr>
            <w:rFonts w:ascii="Arial" w:hAnsi="Arial" w:eastAsia="Arial" w:cs="Arial"/>
            <w:color w:val="155CAA"/>
            <w:u w:val="single"/>
          </w:rPr>
          <w:t xml:space="preserve">1 189 2024 RIB Haalbaarheidsstudie turnvoorziening sporthal Gulick Bakenbos.pdf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604"/>
      <w:r w:rsidRPr="00A448AC">
        <w:rPr>
          <w:rFonts w:ascii="Arial" w:hAnsi="Arial" w:cs="Arial"/>
          <w:b/>
          <w:bCs/>
          <w:color w:val="303F4C"/>
          <w:lang w:val="en-US"/>
        </w:rPr>
        <w:t>189 2024 RIB Haalbaarheidsstudie turnvoorziening sporthal Gulick Bakenbos.pdf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 13:31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 2024 RIB Haalbaarheidsstudie turnvoorziening sporthal Gulick Bakenbos.pdf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189-2024-RIB-Haalbaarheidsstudie-turnvoorziening-sporthal-Gulick-Bakenbos-pd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