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7" w:history="1">
        <w:r>
          <w:rPr>
            <w:rFonts w:ascii="Arial" w:hAnsi="Arial" w:eastAsia="Arial" w:cs="Arial"/>
            <w:color w:val="155CAA"/>
            <w:u w:val="single"/>
          </w:rPr>
          <w:t xml:space="preserve">1 219 2023 RIB Benoeming CEO Brightlands Campus Greenport Venlo BV en BV Campus Vastgoed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7"/>
      <w:r w:rsidRPr="00A448AC">
        <w:rPr>
          <w:rFonts w:ascii="Arial" w:hAnsi="Arial" w:cs="Arial"/>
          <w:b/>
          <w:bCs/>
          <w:color w:val="303F4C"/>
          <w:lang w:val="en-US"/>
        </w:rPr>
        <w:t>219 2023 RIB Benoeming CEO Brightlands Campus Greenport Venlo BV en BV Campus Vastgoed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 09:01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2023 RIB Benoeming CEO Brightlands Campus Greenport Venlo BV en BV Campus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19-2023-RIB-Benoeming-CEO-Brightlands-Campus-Greenport-Venlo-BV-en-BV-Campus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