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650" text:style-name="Internet_20_link" text:visited-style-name="Visited_20_Internet_20_Link">
              <text:span text:style-name="ListLabel_20_28">
                <text:span text:style-name="T8">1 RIB 206 2024 Nieuwe governance programma Grip op Onbegrip Noord- en Midden-Limburg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650"/>
        RIB 206 2024 Nieuwe governance programma Grip op Onbegrip Noord- en Midden-Limburg
        <text:bookmark-end text:name="365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29-11-2024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29-11-2024 11:57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RIB 206 2024 Nieuwe governance programma Grip op Onbegrip Noord- en Midden-Limburg
              <text:span text:style-name="T3"/>
            </text:p>
            <text:p text:style-name="P7"/>
          </table:table-cell>
          <table:table-cell table:style-name="Table5.A2" office:value-type="string">
            <text:p text:style-name="P8">29-11-2024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207,09 KB</text:p>
          </table:table-cell>
          <table:table-cell table:style-name="Table5.A2" office:value-type="string">
            <text:p text:style-name="P33">
              <text:a xlink:type="simple" xlink:href="https://https://gemeenteraad.venlo.nl//Documenten/RIB-206-2024-Nieuwe-governance-programma-Grip-op-Onbegrip-Noord-en-Midden-Limbu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79" meta:character-count="539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