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1" w:history="1">
        <w:r>
          <w:rPr>
            <w:rFonts w:ascii="Arial" w:hAnsi="Arial" w:eastAsia="Arial" w:cs="Arial"/>
            <w:color w:val="155CAA"/>
            <w:u w:val="single"/>
          </w:rPr>
          <w:t xml:space="preserve">1 028 Technische vragen en antwoorden GroenLinks - Inspraakverordening adviesraad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1"/>
      <w:r w:rsidRPr="00A448AC">
        <w:rPr>
          <w:rFonts w:ascii="Arial" w:hAnsi="Arial" w:cs="Arial"/>
          <w:b/>
          <w:bCs/>
          <w:color w:val="303F4C"/>
          <w:lang w:val="en-US"/>
        </w:rPr>
        <w:t>028 Technische vragen en antwoorden GroenLinks - Inspraakverordening adviesraad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 Technische vragen en antwoorden GroenLinks - Inspraakverordening adviesraad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Commissie-Sociaal/2025/19-maart/19:00/Inspraakverordening-adviesraad-sociaal-domein-2025-266182/028-Technische-vragen-en-antwoorden-GroenLinks-Inspraakverordening-adviesraad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